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3551" w14:textId="77777777" w:rsidR="001A7906" w:rsidRPr="00866B45" w:rsidRDefault="00000000">
      <w:pPr>
        <w:pStyle w:val="a8"/>
        <w:jc w:val="center"/>
        <w:rPr>
          <w:lang w:val="fr-FR"/>
        </w:rPr>
      </w:pPr>
      <w:r w:rsidRPr="00866B45">
        <w:rPr>
          <w:lang w:val="fr-FR"/>
        </w:rPr>
        <w:t>Checklist : Transition vers la Cryptographie Post-Quantique</w:t>
      </w:r>
    </w:p>
    <w:p w14:paraId="00FA26E4" w14:textId="77777777" w:rsidR="001A7906" w:rsidRPr="00866B45" w:rsidRDefault="00000000">
      <w:pPr>
        <w:rPr>
          <w:rFonts w:eastAsia="맑은 고딕"/>
          <w:lang w:val="fr-FR" w:eastAsia="ko-KR"/>
        </w:rPr>
      </w:pPr>
      <w:r w:rsidRPr="00866B45">
        <w:rPr>
          <w:lang w:val="fr-FR"/>
        </w:rPr>
        <w:t>Cette checklist a été conçue pour aider les consultants et professionnels IT à évaluer l'état actuel de leurs systèmes de chiffrement et à initier des échanges structurés avec leurs clients sur la migration vers des solutions post-quantiques.</w:t>
      </w:r>
    </w:p>
    <w:p w14:paraId="2B6B775E" w14:textId="77777777" w:rsidR="00866B45" w:rsidRPr="00866B45" w:rsidRDefault="00866B45">
      <w:pPr>
        <w:rPr>
          <w:rFonts w:eastAsia="맑은 고딕" w:hint="eastAsia"/>
          <w:lang w:val="fr-FR" w:eastAsia="ko-KR"/>
        </w:rPr>
      </w:pPr>
    </w:p>
    <w:p w14:paraId="17B2B0BA" w14:textId="77777777" w:rsidR="001A7906" w:rsidRPr="00866B45" w:rsidRDefault="00000000">
      <w:pPr>
        <w:pStyle w:val="21"/>
        <w:rPr>
          <w:lang w:val="fr-FR"/>
        </w:rPr>
      </w:pPr>
      <w:r w:rsidRPr="00866B45">
        <w:rPr>
          <w:lang w:val="fr-FR"/>
        </w:rPr>
        <w:t>1. Évaluation des systèmes actuels de chiffrement</w:t>
      </w:r>
    </w:p>
    <w:p w14:paraId="3D329661" w14:textId="77777777" w:rsidR="001A7906" w:rsidRPr="00866B45" w:rsidRDefault="00000000">
      <w:pPr>
        <w:pStyle w:val="a0"/>
        <w:rPr>
          <w:lang w:val="fr-FR"/>
        </w:rPr>
      </w:pPr>
      <w:r w:rsidRPr="00866B45">
        <w:rPr>
          <w:lang w:val="fr-FR"/>
        </w:rPr>
        <w:t>☐ Lister tous les points d'entrée utilisant le chiffrement (VPN, emails, stockage, etc.)</w:t>
      </w:r>
    </w:p>
    <w:p w14:paraId="58BFDF2A" w14:textId="77777777" w:rsidR="001A7906" w:rsidRPr="00866B45" w:rsidRDefault="00000000">
      <w:pPr>
        <w:pStyle w:val="a0"/>
        <w:rPr>
          <w:lang w:val="fr-FR"/>
        </w:rPr>
      </w:pPr>
      <w:r w:rsidRPr="00866B45">
        <w:rPr>
          <w:lang w:val="fr-FR"/>
        </w:rPr>
        <w:t>☐ Identifier les algorithmes utilisés (RSA, ECC, etc.)</w:t>
      </w:r>
    </w:p>
    <w:p w14:paraId="53E14132" w14:textId="77777777" w:rsidR="001A7906" w:rsidRPr="00866B45" w:rsidRDefault="00000000">
      <w:pPr>
        <w:pStyle w:val="a0"/>
        <w:rPr>
          <w:lang w:val="fr-FR"/>
        </w:rPr>
      </w:pPr>
      <w:r w:rsidRPr="00866B45">
        <w:rPr>
          <w:lang w:val="fr-FR"/>
        </w:rPr>
        <w:t>☐ Vérifier les dates de validité des certificats TLS/SSL</w:t>
      </w:r>
    </w:p>
    <w:p w14:paraId="038F0D6F" w14:textId="77777777" w:rsidR="001A7906" w:rsidRPr="00866B45" w:rsidRDefault="00000000">
      <w:pPr>
        <w:pStyle w:val="a0"/>
        <w:rPr>
          <w:lang w:val="fr-FR"/>
        </w:rPr>
      </w:pPr>
      <w:r w:rsidRPr="00866B45">
        <w:rPr>
          <w:lang w:val="fr-FR"/>
        </w:rPr>
        <w:t>☐ Identifier les systèmes critiques nécessitant un haut niveau de sécurité</w:t>
      </w:r>
    </w:p>
    <w:p w14:paraId="22030EE1" w14:textId="77777777" w:rsidR="001A7906" w:rsidRDefault="00000000">
      <w:pPr>
        <w:pStyle w:val="21"/>
      </w:pPr>
      <w:r>
        <w:t>2. Sensibilisation et documentation</w:t>
      </w:r>
    </w:p>
    <w:p w14:paraId="6A5E8003" w14:textId="77777777" w:rsidR="001A7906" w:rsidRDefault="00000000">
      <w:pPr>
        <w:pStyle w:val="a0"/>
      </w:pPr>
      <w:r>
        <w:t>☐ Préparer une synthèse claire sur la menace quantique et la stratégie 'Harvest Now, Decrypt Later'</w:t>
      </w:r>
    </w:p>
    <w:p w14:paraId="4661EEB9" w14:textId="77777777" w:rsidR="001A7906" w:rsidRDefault="00000000">
      <w:pPr>
        <w:pStyle w:val="a0"/>
      </w:pPr>
      <w:r>
        <w:t>☐ Fournir des exemples concrets sectoriels (santé, finance, administration publique)</w:t>
      </w:r>
    </w:p>
    <w:p w14:paraId="360FFDCF" w14:textId="77777777" w:rsidR="001A7906" w:rsidRDefault="00000000">
      <w:pPr>
        <w:pStyle w:val="a0"/>
      </w:pPr>
      <w:r>
        <w:t>☐ Comparer les algorithmes classiques et post-quantiques (Kyber, Dilithium, SPHINCS+)</w:t>
      </w:r>
    </w:p>
    <w:p w14:paraId="1E88B66F" w14:textId="77777777" w:rsidR="001A7906" w:rsidRDefault="00000000">
      <w:pPr>
        <w:pStyle w:val="21"/>
      </w:pPr>
      <w:r>
        <w:t>3. Définition d’un plan de transition post-quantique</w:t>
      </w:r>
    </w:p>
    <w:p w14:paraId="7DCB77B1" w14:textId="77777777" w:rsidR="001A7906" w:rsidRDefault="00000000">
      <w:pPr>
        <w:pStyle w:val="a0"/>
      </w:pPr>
      <w:r>
        <w:t>☐ Identifier les systèmes pouvant être mis à jour (vs legacy)</w:t>
      </w:r>
    </w:p>
    <w:p w14:paraId="01BBCA6C" w14:textId="77777777" w:rsidR="001A7906" w:rsidRDefault="00000000">
      <w:pPr>
        <w:pStyle w:val="a0"/>
      </w:pPr>
      <w:r>
        <w:t>☐ Proposer une feuille de route progressive (ex : migration hybride)</w:t>
      </w:r>
    </w:p>
    <w:p w14:paraId="1C51544C" w14:textId="77777777" w:rsidR="001A7906" w:rsidRDefault="00000000">
      <w:pPr>
        <w:pStyle w:val="a0"/>
      </w:pPr>
      <w:r>
        <w:t>☐ Anticiper les besoins réglementaires (RGPD, PCI-DSS, etc.)</w:t>
      </w:r>
    </w:p>
    <w:p w14:paraId="771BB0E3" w14:textId="77777777" w:rsidR="001A7906" w:rsidRDefault="00000000">
      <w:pPr>
        <w:pStyle w:val="a0"/>
      </w:pPr>
      <w:r>
        <w:t>☐ Planifier la montée en compétences (formations internes ou externes)</w:t>
      </w:r>
    </w:p>
    <w:p w14:paraId="7C5DFE08" w14:textId="77777777" w:rsidR="001A7906" w:rsidRDefault="00000000">
      <w:pPr>
        <w:pStyle w:val="21"/>
      </w:pPr>
      <w:r>
        <w:t>4. Communication avec le client</w:t>
      </w:r>
    </w:p>
    <w:p w14:paraId="3CE765A1" w14:textId="77777777" w:rsidR="001A7906" w:rsidRDefault="00000000">
      <w:pPr>
        <w:pStyle w:val="a0"/>
      </w:pPr>
      <w:r>
        <w:t>☐ Expliquer les risques en lien avec leur secteur d’activité</w:t>
      </w:r>
    </w:p>
    <w:p w14:paraId="14329A8C" w14:textId="77777777" w:rsidR="001A7906" w:rsidRDefault="00000000">
      <w:pPr>
        <w:pStyle w:val="a0"/>
      </w:pPr>
      <w:r>
        <w:t>☐ Présenter une stratégie adaptée (court/moyen/long terme)</w:t>
      </w:r>
    </w:p>
    <w:p w14:paraId="745FA427" w14:textId="77777777" w:rsidR="001A7906" w:rsidRDefault="00000000">
      <w:pPr>
        <w:pStyle w:val="a0"/>
      </w:pPr>
      <w:r>
        <w:t>☐ Clarifier les avantages business : confiance, conformité, anticipation des risques</w:t>
      </w:r>
    </w:p>
    <w:sectPr w:rsidR="001A79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2435166">
    <w:abstractNumId w:val="8"/>
  </w:num>
  <w:num w:numId="2" w16cid:durableId="1434009282">
    <w:abstractNumId w:val="6"/>
  </w:num>
  <w:num w:numId="3" w16cid:durableId="1658682042">
    <w:abstractNumId w:val="5"/>
  </w:num>
  <w:num w:numId="4" w16cid:durableId="1656446840">
    <w:abstractNumId w:val="4"/>
  </w:num>
  <w:num w:numId="5" w16cid:durableId="1786534218">
    <w:abstractNumId w:val="7"/>
  </w:num>
  <w:num w:numId="6" w16cid:durableId="1445541374">
    <w:abstractNumId w:val="3"/>
  </w:num>
  <w:num w:numId="7" w16cid:durableId="1124468928">
    <w:abstractNumId w:val="2"/>
  </w:num>
  <w:num w:numId="8" w16cid:durableId="29766149">
    <w:abstractNumId w:val="1"/>
  </w:num>
  <w:num w:numId="9" w16cid:durableId="110245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906"/>
    <w:rsid w:val="0029639D"/>
    <w:rsid w:val="00326F90"/>
    <w:rsid w:val="00534F55"/>
    <w:rsid w:val="00866B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A209F"/>
  <w14:defaultImageDpi w14:val="300"/>
  <w15:docId w15:val="{CD2A55B0-03F4-42C5-8273-138FA304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Jong eun Kwak</cp:lastModifiedBy>
  <cp:revision>2</cp:revision>
  <dcterms:created xsi:type="dcterms:W3CDTF">2013-12-23T23:15:00Z</dcterms:created>
  <dcterms:modified xsi:type="dcterms:W3CDTF">2025-07-10T13:24:00Z</dcterms:modified>
  <cp:category/>
</cp:coreProperties>
</file>